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6A09B" w14:textId="67A48C2F" w:rsidR="00F51D50" w:rsidRDefault="00AF3D59">
      <w:r>
        <w:t xml:space="preserve">Suite au texte sur l’agrandissement du poulailler à </w:t>
      </w:r>
      <w:proofErr w:type="spellStart"/>
      <w:r>
        <w:t>Meeffe</w:t>
      </w:r>
      <w:proofErr w:type="spellEnd"/>
      <w:r>
        <w:t xml:space="preserve">, </w:t>
      </w:r>
      <w:bookmarkStart w:id="0" w:name="_GoBack"/>
      <w:r>
        <w:t xml:space="preserve">je ne peux rester impassible et silencieuse face à cette </w:t>
      </w:r>
      <w:r w:rsidR="00411947">
        <w:t>demande</w:t>
      </w:r>
      <w:r>
        <w:t xml:space="preserve"> que j’estime effarante, effrayante et ayant un impact direct sur notre environnement.</w:t>
      </w:r>
    </w:p>
    <w:bookmarkEnd w:id="0"/>
    <w:p w14:paraId="5EBB0EBA" w14:textId="5500117D" w:rsidR="00AF3D59" w:rsidRDefault="00AF3D59">
      <w:r>
        <w:t>Ethiquement parlant, ces poulaillers vont totalement à l’encontre du bien-être animal et vise sur un principe de base simple : Grandir pour mourir.</w:t>
      </w:r>
    </w:p>
    <w:p w14:paraId="7EABC000" w14:textId="24A050AB" w:rsidR="00AF3D59" w:rsidRDefault="00AF3D59">
      <w:r>
        <w:t xml:space="preserve">Entassés par milliers sur une petite surface mal aérée et insalubre, souffrant de la surpopulation, atrophiés, malades, privés de leurs comportements naturels, mourant lentement et agonisant dans une souffrance </w:t>
      </w:r>
      <w:r w:rsidR="00411947">
        <w:t xml:space="preserve">tellement </w:t>
      </w:r>
      <w:r>
        <w:t>inhumaine qu’elle fait perdre foi en l’humanité. Et toute cette courte vie de souffrance ayant pour seul but de finir dans nos assiettes.</w:t>
      </w:r>
    </w:p>
    <w:p w14:paraId="52F1C6B7" w14:textId="19E043AF" w:rsidR="00AF3D59" w:rsidRDefault="00AF3D59"/>
    <w:p w14:paraId="4B9150F0" w14:textId="0FAD58D6" w:rsidR="00AF3D59" w:rsidRDefault="00AF3D59">
      <w:r>
        <w:t>Mais à quel prix ?</w:t>
      </w:r>
    </w:p>
    <w:p w14:paraId="4CC1F838" w14:textId="75897409" w:rsidR="00AF3D59" w:rsidRDefault="00AF3D59">
      <w:r>
        <w:t>Outre la question éthique qu’elle soulève, la consommation de viande de poulet industriel a un réel impact sur notre santé et l’environnement.</w:t>
      </w:r>
    </w:p>
    <w:p w14:paraId="3535656C" w14:textId="35437368" w:rsidR="00AF3D59" w:rsidRDefault="00AF3D59">
      <w:r>
        <w:t>Construction d’immense hangar</w:t>
      </w:r>
      <w:r w:rsidR="00BA202C">
        <w:t>s</w:t>
      </w:r>
      <w:r>
        <w:t>, nuisances sonores, nuisances olfactives et visuelles qui détruisent peu à peu le charme et les beaux paysages de nos campagnes. Sans compter la pollution des terres, l’utilisation de produits chimiques. Mais surtout, la pollution de nos nappes phréatiques. Doit-on rappeler qu’on nous a imposé un élevage de porc sur un captage d’eau ?</w:t>
      </w:r>
    </w:p>
    <w:p w14:paraId="2D225956" w14:textId="2C3506F4" w:rsidR="00411947" w:rsidRDefault="00411947">
      <w:r>
        <w:t>Nos villages vont-ils finir par devenir l’emblème de l’industrie animales ? La réponse pourrait être oui quand on voit que dans la commune, les hangars poussent comme des champignons.</w:t>
      </w:r>
    </w:p>
    <w:p w14:paraId="1E7BA8F2" w14:textId="644A923F" w:rsidR="00AF3D59" w:rsidRDefault="00AF3D59"/>
    <w:p w14:paraId="1BD96609" w14:textId="22BCA7F3" w:rsidR="00AF3D59" w:rsidRDefault="00AF3D59">
      <w:r>
        <w:t xml:space="preserve">Il est effarant qu’en 2020, nous puissions encore accepter ce type </w:t>
      </w:r>
      <w:r w:rsidR="00411947">
        <w:t>d’élevages et qu’on ne soit pas encore capable d’utiliser d’autres alternatives éthiquement plus acceptable (élevage en plein air).</w:t>
      </w:r>
    </w:p>
    <w:p w14:paraId="3A83DCAF" w14:textId="6FB60362" w:rsidR="00411947" w:rsidRDefault="00411947"/>
    <w:p w14:paraId="34ACB054" w14:textId="24262D4C" w:rsidR="00411947" w:rsidRDefault="00411947">
      <w:r>
        <w:t>Mais il est encore plus décevant que ces enquêtes publiques, qui concernent l’entièreté de l’entité, ne soit pas rendue publique directement dans nos boites aux lettres</w:t>
      </w:r>
      <w:r w:rsidR="00736F45">
        <w:t xml:space="preserve">. Dans ces cas-là, nous partons donc du principe que si l’information ne passe pas, il est plus aisé d’accepter les requêtes et de les imposer aux villageois car il n’y </w:t>
      </w:r>
      <w:r w:rsidR="00BA202C">
        <w:t>a</w:t>
      </w:r>
      <w:r w:rsidR="00736F45">
        <w:t xml:space="preserve"> personne pour </w:t>
      </w:r>
      <w:r w:rsidR="00BA202C">
        <w:t>contester</w:t>
      </w:r>
      <w:r w:rsidR="00736F45">
        <w:t xml:space="preserve">. </w:t>
      </w:r>
      <w:r w:rsidR="00BA202C">
        <w:t>Vivons-nous</w:t>
      </w:r>
      <w:r w:rsidR="00736F45">
        <w:t xml:space="preserve"> dans une commune qui préfère imposer que demander ?</w:t>
      </w:r>
    </w:p>
    <w:p w14:paraId="316A13F6" w14:textId="37DCE6CB" w:rsidR="00411947" w:rsidRDefault="00411947"/>
    <w:p w14:paraId="308ECFD7" w14:textId="720DA8DE" w:rsidR="00502E8B" w:rsidRDefault="00502E8B">
      <w:r>
        <w:t>« </w:t>
      </w:r>
      <w:r w:rsidRPr="00502E8B">
        <w:t>Wasseiges, une commune où il fait bon vivre.</w:t>
      </w:r>
      <w:r>
        <w:t> » vous êtes sûr ? Slogan qui n’a plus lieu d’être.</w:t>
      </w:r>
    </w:p>
    <w:p w14:paraId="47699098" w14:textId="77777777" w:rsidR="00502E8B" w:rsidRDefault="00502E8B"/>
    <w:p w14:paraId="532E25EB" w14:textId="77777777" w:rsidR="00411947" w:rsidRPr="00411947" w:rsidRDefault="00411947" w:rsidP="00411947">
      <w:pPr>
        <w:rPr>
          <w:b/>
          <w:bCs/>
        </w:rPr>
      </w:pPr>
      <w:r w:rsidRPr="00411947">
        <w:rPr>
          <w:b/>
          <w:bCs/>
        </w:rPr>
        <w:t>IMPACT SUR LA SANTÉ HUMAINE</w:t>
      </w:r>
    </w:p>
    <w:p w14:paraId="2C719BD6" w14:textId="77777777" w:rsidR="00411947" w:rsidRPr="00411947" w:rsidRDefault="00411947" w:rsidP="00411947">
      <w:r w:rsidRPr="00411947">
        <w:t>L’élevage intensif des poulets de chair n’est pas non plus anodin pour la santé humaine.</w:t>
      </w:r>
    </w:p>
    <w:p w14:paraId="1D743710" w14:textId="77777777" w:rsidR="00411947" w:rsidRPr="00411947" w:rsidRDefault="00411947" w:rsidP="00411947">
      <w:r w:rsidRPr="00411947">
        <w:t>En effet, cette production est une cause fréquente </w:t>
      </w:r>
      <w:r w:rsidRPr="00411947">
        <w:rPr>
          <w:b/>
          <w:bCs/>
        </w:rPr>
        <w:t>d'intoxication alimentaire</w:t>
      </w:r>
      <w:r w:rsidRPr="00411947">
        <w:t> (salmonelles, </w:t>
      </w:r>
      <w:r w:rsidRPr="00411947">
        <w:rPr>
          <w:i/>
          <w:iCs/>
        </w:rPr>
        <w:t>Campylobacter</w:t>
      </w:r>
      <w:r w:rsidRPr="00411947">
        <w:t>). Selon l’EFSA, </w:t>
      </w:r>
      <w:r w:rsidRPr="00411947">
        <w:rPr>
          <w:b/>
          <w:bCs/>
        </w:rPr>
        <w:t>20 % à 30 %</w:t>
      </w:r>
      <w:r w:rsidRPr="00411947">
        <w:t xml:space="preserve"> des cas humains de </w:t>
      </w:r>
      <w:proofErr w:type="spellStart"/>
      <w:r w:rsidRPr="00411947">
        <w:t>campylobactériose</w:t>
      </w:r>
      <w:proofErr w:type="spellEnd"/>
      <w:r w:rsidRPr="00411947">
        <w:t xml:space="preserve"> sont directement imputables à la consommation de viande de poulet [1].</w:t>
      </w:r>
    </w:p>
    <w:p w14:paraId="0E711DE2" w14:textId="77777777" w:rsidR="00411947" w:rsidRPr="00411947" w:rsidRDefault="00411947" w:rsidP="00411947">
      <w:r w:rsidRPr="00411947">
        <w:t xml:space="preserve">En outre, pour prévenir et combattre l’apparition de maladies liées à la surpopulation des animaux, les antibiotiques sont distribués aux oiseaux en grandes quantités, parfois directement dans </w:t>
      </w:r>
      <w:r w:rsidRPr="00411947">
        <w:lastRenderedPageBreak/>
        <w:t>l’alimentation. Cette utilisation massive de produits vétérinaires induit l'apparition de bactéries qui leur sont résistantes. Ce recours aux antibiotiques pose la question de l’</w:t>
      </w:r>
      <w:r w:rsidRPr="00411947">
        <w:rPr>
          <w:b/>
          <w:bCs/>
        </w:rPr>
        <w:t>antibiorésistance</w:t>
      </w:r>
      <w:r w:rsidRPr="00411947">
        <w:t>.</w:t>
      </w:r>
    </w:p>
    <w:p w14:paraId="24941C01" w14:textId="77777777" w:rsidR="00411947" w:rsidRPr="00411947" w:rsidRDefault="00411947" w:rsidP="00411947">
      <w:r w:rsidRPr="00411947">
        <w:t>Par ailleurs, l’aviculture intensive favorise l'émergence d’épidémies. Elle a par exemple contribué à l'apparition et au développement de maladies telles que la </w:t>
      </w:r>
      <w:r w:rsidRPr="00411947">
        <w:rPr>
          <w:b/>
          <w:bCs/>
        </w:rPr>
        <w:t>grippe aviaire</w:t>
      </w:r>
      <w:r w:rsidRPr="00411947">
        <w:t>.</w:t>
      </w:r>
    </w:p>
    <w:p w14:paraId="2334503E" w14:textId="024708A3" w:rsidR="00411947" w:rsidRDefault="00411947"/>
    <w:p w14:paraId="6D729D3E" w14:textId="77777777" w:rsidR="00411947" w:rsidRPr="00411947" w:rsidRDefault="00411947" w:rsidP="00411947">
      <w:pPr>
        <w:rPr>
          <w:b/>
          <w:bCs/>
        </w:rPr>
      </w:pPr>
      <w:r w:rsidRPr="00411947">
        <w:rPr>
          <w:b/>
          <w:bCs/>
        </w:rPr>
        <w:t>IMPACT SUR L’ENVIRONNEMENT</w:t>
      </w:r>
    </w:p>
    <w:p w14:paraId="61074FE7" w14:textId="28F9A8D9" w:rsidR="00411947" w:rsidRPr="00411947" w:rsidRDefault="00411947" w:rsidP="00411947">
      <w:r w:rsidRPr="00411947">
        <w:t>Si l’impact de la production de viande rouge sur l’environnement est désormais relativement connu et fait l’objet d’un consensus de la part de la communauté scientifique, les problèmes environnementaux liés à l’élevage de volailles sont souvent passés sous silence.</w:t>
      </w:r>
    </w:p>
    <w:p w14:paraId="70913ED6" w14:textId="77777777" w:rsidR="00411947" w:rsidRPr="00411947" w:rsidRDefault="00411947" w:rsidP="00411947">
      <w:r w:rsidRPr="00411947">
        <w:t>Or la production de poulets est elle aussi émettrice de </w:t>
      </w:r>
      <w:r w:rsidRPr="00411947">
        <w:rPr>
          <w:b/>
          <w:bCs/>
        </w:rPr>
        <w:t>gaz à effet de serre</w:t>
      </w:r>
      <w:r w:rsidRPr="00411947">
        <w:t>. On estime que pour produire 1 kg de poulet, 7 kg de CO</w:t>
      </w:r>
      <w:r w:rsidRPr="00411947">
        <w:rPr>
          <w:vertAlign w:val="subscript"/>
        </w:rPr>
        <w:t>2</w:t>
      </w:r>
      <w:r w:rsidRPr="00411947">
        <w:t> sont émis ! C’est certes moins que pour l’élevage bovin, mais si l’on multiplie ce chiffre par le nombre d’animaux concernés, le résultat est loin d’être négligeable [2].</w:t>
      </w:r>
    </w:p>
    <w:p w14:paraId="0F24837E" w14:textId="77777777" w:rsidR="00411947" w:rsidRPr="00411947" w:rsidRDefault="00411947" w:rsidP="00411947">
      <w:r w:rsidRPr="00411947">
        <w:t>L’élevage de poulets nécessite également d’importants </w:t>
      </w:r>
      <w:r w:rsidRPr="00411947">
        <w:rPr>
          <w:b/>
          <w:bCs/>
        </w:rPr>
        <w:t>besoins en eau</w:t>
      </w:r>
      <w:r w:rsidRPr="00411947">
        <w:t>.</w:t>
      </w:r>
      <w:r w:rsidRPr="00411947">
        <w:br/>
        <w:t>Il faut ainsi plus de 6000 L d'eau (hors eau de pluie) pour produire 1 kg de protéines de viande de poulet, alors que les protéines végétales en nécessitent environ 15 à 30 % de moins [4</w:t>
      </w:r>
      <w:proofErr w:type="gramStart"/>
      <w:r w:rsidRPr="00411947">
        <w:t>] .</w:t>
      </w:r>
      <w:proofErr w:type="gramEnd"/>
    </w:p>
    <w:p w14:paraId="06D5340C" w14:textId="77777777" w:rsidR="00411947" w:rsidRPr="00411947" w:rsidRDefault="00411947" w:rsidP="00411947">
      <w:r w:rsidRPr="00411947">
        <w:t>"Enfin, à l’instar de l’élevage porcin, l’élevage de volailles contribue significativement à la </w:t>
      </w:r>
      <w:r w:rsidRPr="00411947">
        <w:rPr>
          <w:b/>
          <w:bCs/>
        </w:rPr>
        <w:t>pollution des eaux</w:t>
      </w:r>
      <w:r w:rsidRPr="00411947">
        <w:t>. En effet, les animaux émettent de l’azote, source de pollution microbienne et responsable de la prolifération d’algues lorsqu’elle est rejetée dans les eaux.</w:t>
      </w:r>
    </w:p>
    <w:p w14:paraId="3C3A5779" w14:textId="77777777" w:rsidR="00411947" w:rsidRPr="00411947" w:rsidRDefault="00411947" w:rsidP="00411947">
      <w:r w:rsidRPr="00411947">
        <w:t>Par ailleurs, lorsque l’on sait qu’il faut 5 kg de protéines végétales pour produire 1 kg de protéines de poulet [5], on peut considérer que l’élevage de ces oiseaux a des conséquences directes sur la raréfaction des terres agricoles et est un gaspillage de ressources énorme. En outre, l’alimentation des poulets étant constituée pour ¼ de soja, nous pouvons tenir cette production pour partie responsable de la </w:t>
      </w:r>
      <w:r w:rsidRPr="00411947">
        <w:rPr>
          <w:b/>
          <w:bCs/>
        </w:rPr>
        <w:t>déforestation</w:t>
      </w:r>
      <w:r w:rsidRPr="00411947">
        <w:t>, le soja utilisé pour nourrir les animaux étant massivement importé du Brésil [3].</w:t>
      </w:r>
    </w:p>
    <w:p w14:paraId="7A23107B" w14:textId="1F71D385" w:rsidR="00411947" w:rsidRDefault="00411947"/>
    <w:p w14:paraId="6CCC6B42" w14:textId="793BA9ED" w:rsidR="00411947" w:rsidRDefault="00411947"/>
    <w:p w14:paraId="00F2D91F" w14:textId="7E352156" w:rsidR="00411947" w:rsidRDefault="00411947">
      <w:r>
        <w:t xml:space="preserve">Source : </w:t>
      </w:r>
    </w:p>
    <w:p w14:paraId="0E62A095" w14:textId="77777777" w:rsidR="00411947" w:rsidRPr="00411947" w:rsidRDefault="00411947" w:rsidP="00411947">
      <w:r w:rsidRPr="00411947">
        <w:t>[1] EFSA (Autorité européenne de sécurité des aliments), 2014. </w:t>
      </w:r>
      <w:r w:rsidRPr="00411947">
        <w:rPr>
          <w:i/>
          <w:iCs/>
        </w:rPr>
        <w:t>Les Zoonoses expliquées par l’EFSA : Campylobacter</w:t>
      </w:r>
      <w:r w:rsidRPr="00411947">
        <w:t>, 2 p. Disponible en ligne : </w:t>
      </w:r>
      <w:hyperlink r:id="rId7" w:history="1">
        <w:r w:rsidRPr="00411947">
          <w:rPr>
            <w:rStyle w:val="Lienhypertexte"/>
          </w:rPr>
          <w:t>http://www.efsa.europa.eu/sites/default/files/corporate_publications/files/factsheetcampylobacterfr.pdf</w:t>
        </w:r>
      </w:hyperlink>
      <w:r w:rsidRPr="00411947">
        <w:t> (consulté le 1</w:t>
      </w:r>
      <w:r w:rsidRPr="00411947">
        <w:rPr>
          <w:vertAlign w:val="superscript"/>
        </w:rPr>
        <w:t>er</w:t>
      </w:r>
      <w:r w:rsidRPr="00411947">
        <w:t> mars 2018). </w:t>
      </w:r>
      <w:hyperlink r:id="rId8" w:history="1">
        <w:r w:rsidRPr="00411947">
          <w:rPr>
            <w:rStyle w:val="Lienhypertexte"/>
          </w:rPr>
          <w:t>http://dx.doi.org/10.2805/5965</w:t>
        </w:r>
      </w:hyperlink>
      <w:r w:rsidRPr="00411947">
        <w:t>.</w:t>
      </w:r>
    </w:p>
    <w:p w14:paraId="78B72521" w14:textId="77777777" w:rsidR="00411947" w:rsidRPr="00411947" w:rsidRDefault="00411947" w:rsidP="00411947">
      <w:r w:rsidRPr="00411947">
        <w:t xml:space="preserve">[2] FAO (Food and Agriculture </w:t>
      </w:r>
      <w:proofErr w:type="spellStart"/>
      <w:r w:rsidRPr="00411947">
        <w:t>Organization</w:t>
      </w:r>
      <w:proofErr w:type="spellEnd"/>
      <w:r w:rsidRPr="00411947">
        <w:t xml:space="preserve"> of the United Nations), 2013. </w:t>
      </w:r>
      <w:proofErr w:type="spellStart"/>
      <w:r w:rsidRPr="00411947">
        <w:rPr>
          <w:i/>
          <w:iCs/>
        </w:rPr>
        <w:t>Tackling</w:t>
      </w:r>
      <w:proofErr w:type="spellEnd"/>
      <w:r w:rsidRPr="00411947">
        <w:rPr>
          <w:i/>
          <w:iCs/>
        </w:rPr>
        <w:t xml:space="preserve"> </w:t>
      </w:r>
      <w:proofErr w:type="spellStart"/>
      <w:r w:rsidRPr="00411947">
        <w:rPr>
          <w:i/>
          <w:iCs/>
        </w:rPr>
        <w:t>Climate</w:t>
      </w:r>
      <w:proofErr w:type="spellEnd"/>
      <w:r w:rsidRPr="00411947">
        <w:rPr>
          <w:i/>
          <w:iCs/>
        </w:rPr>
        <w:t xml:space="preserve"> Change </w:t>
      </w:r>
      <w:proofErr w:type="spellStart"/>
      <w:r w:rsidRPr="00411947">
        <w:rPr>
          <w:i/>
          <w:iCs/>
        </w:rPr>
        <w:t>Through</w:t>
      </w:r>
      <w:proofErr w:type="spellEnd"/>
      <w:r w:rsidRPr="00411947">
        <w:rPr>
          <w:i/>
          <w:iCs/>
        </w:rPr>
        <w:t xml:space="preserve"> </w:t>
      </w:r>
      <w:proofErr w:type="spellStart"/>
      <w:r w:rsidRPr="00411947">
        <w:rPr>
          <w:i/>
          <w:iCs/>
        </w:rPr>
        <w:t>Livestock</w:t>
      </w:r>
      <w:proofErr w:type="spellEnd"/>
      <w:r w:rsidRPr="00411947">
        <w:rPr>
          <w:i/>
          <w:iCs/>
        </w:rPr>
        <w:t xml:space="preserve"> – A Global </w:t>
      </w:r>
      <w:proofErr w:type="spellStart"/>
      <w:r w:rsidRPr="00411947">
        <w:rPr>
          <w:i/>
          <w:iCs/>
        </w:rPr>
        <w:t>Assessment</w:t>
      </w:r>
      <w:proofErr w:type="spellEnd"/>
      <w:r w:rsidRPr="00411947">
        <w:rPr>
          <w:i/>
          <w:iCs/>
        </w:rPr>
        <w:t xml:space="preserve"> of Emissions and Mitigation </w:t>
      </w:r>
      <w:proofErr w:type="spellStart"/>
      <w:r w:rsidRPr="00411947">
        <w:rPr>
          <w:i/>
          <w:iCs/>
        </w:rPr>
        <w:t>Opportunities</w:t>
      </w:r>
      <w:proofErr w:type="spellEnd"/>
      <w:r w:rsidRPr="00411947">
        <w:t>, Rome, 116 p. (p. 38, table 9). Disponible en ligne : </w:t>
      </w:r>
      <w:hyperlink r:id="rId9" w:history="1">
        <w:r w:rsidRPr="00411947">
          <w:rPr>
            <w:rStyle w:val="Lienhypertexte"/>
          </w:rPr>
          <w:t>http://www.fao.org/3/a-i3437e.pdf</w:t>
        </w:r>
      </w:hyperlink>
      <w:r w:rsidRPr="00411947">
        <w:t> (consulté le 1</w:t>
      </w:r>
      <w:r w:rsidRPr="00411947">
        <w:rPr>
          <w:vertAlign w:val="superscript"/>
        </w:rPr>
        <w:t>er</w:t>
      </w:r>
      <w:r w:rsidRPr="00411947">
        <w:t> mars 2018).</w:t>
      </w:r>
    </w:p>
    <w:p w14:paraId="25185B40" w14:textId="77777777" w:rsidR="00411947" w:rsidRPr="00411947" w:rsidRDefault="00411947" w:rsidP="00411947">
      <w:r w:rsidRPr="00411947">
        <w:t>[3] INRA (Institut national de la recherche agronomique), 2015. </w:t>
      </w:r>
      <w:r w:rsidRPr="00411947">
        <w:rPr>
          <w:i/>
          <w:iCs/>
        </w:rPr>
        <w:t>Ce que mangent les volailles (1)</w:t>
      </w:r>
      <w:r w:rsidRPr="00411947">
        <w:t xml:space="preserve">. </w:t>
      </w:r>
      <w:proofErr w:type="spellStart"/>
      <w:r w:rsidRPr="00411947">
        <w:t>Diponible</w:t>
      </w:r>
      <w:proofErr w:type="spellEnd"/>
      <w:r w:rsidRPr="00411947">
        <w:t xml:space="preserve"> en ligne : </w:t>
      </w:r>
      <w:hyperlink r:id="rId10" w:history="1">
        <w:r w:rsidRPr="00411947">
          <w:rPr>
            <w:rStyle w:val="Lienhypertexte"/>
          </w:rPr>
          <w:t>http://presse.inra.fr/Dossiers-de-presse/Volailles-les-chercheurs-veillent-au-grain/Ce-que-mangent-les-volailles-1/(key)/3 (consulté le 1</w:t>
        </w:r>
        <w:r w:rsidRPr="00411947">
          <w:rPr>
            <w:rStyle w:val="Lienhypertexte"/>
            <w:vertAlign w:val="superscript"/>
          </w:rPr>
          <w:t>er</w:t>
        </w:r>
        <w:r w:rsidRPr="00411947">
          <w:rPr>
            <w:rStyle w:val="Lienhypertexte"/>
          </w:rPr>
          <w:t> mars 2018).</w:t>
        </w:r>
      </w:hyperlink>
    </w:p>
    <w:p w14:paraId="32716E42" w14:textId="77777777" w:rsidR="00411947" w:rsidRPr="00411947" w:rsidRDefault="00411947" w:rsidP="00411947">
      <w:r w:rsidRPr="00411947">
        <w:lastRenderedPageBreak/>
        <w:t>[4] </w:t>
      </w:r>
      <w:proofErr w:type="spellStart"/>
      <w:r w:rsidRPr="00411947">
        <w:t>Mekonnen</w:t>
      </w:r>
      <w:proofErr w:type="spellEnd"/>
      <w:r w:rsidRPr="00411947">
        <w:t>, M. M., </w:t>
      </w:r>
      <w:proofErr w:type="spellStart"/>
      <w:r w:rsidRPr="00411947">
        <w:t>Hoekstra</w:t>
      </w:r>
      <w:proofErr w:type="spellEnd"/>
      <w:r w:rsidRPr="00411947">
        <w:t>, A. Y. </w:t>
      </w:r>
      <w:r w:rsidRPr="00411947">
        <w:rPr>
          <w:i/>
          <w:iCs/>
        </w:rPr>
        <w:t xml:space="preserve">A Global </w:t>
      </w:r>
      <w:proofErr w:type="spellStart"/>
      <w:r w:rsidRPr="00411947">
        <w:rPr>
          <w:i/>
          <w:iCs/>
        </w:rPr>
        <w:t>Assessment</w:t>
      </w:r>
      <w:proofErr w:type="spellEnd"/>
      <w:r w:rsidRPr="00411947">
        <w:rPr>
          <w:i/>
          <w:iCs/>
        </w:rPr>
        <w:t xml:space="preserve"> of the Water </w:t>
      </w:r>
      <w:proofErr w:type="spellStart"/>
      <w:r w:rsidRPr="00411947">
        <w:rPr>
          <w:i/>
          <w:iCs/>
        </w:rPr>
        <w:t>Footprint</w:t>
      </w:r>
      <w:proofErr w:type="spellEnd"/>
      <w:r w:rsidRPr="00411947">
        <w:rPr>
          <w:i/>
          <w:iCs/>
        </w:rPr>
        <w:t xml:space="preserve"> of </w:t>
      </w:r>
      <w:proofErr w:type="spellStart"/>
      <w:r w:rsidRPr="00411947">
        <w:rPr>
          <w:i/>
          <w:iCs/>
        </w:rPr>
        <w:t>Farm</w:t>
      </w:r>
      <w:proofErr w:type="spellEnd"/>
      <w:r w:rsidRPr="00411947">
        <w:rPr>
          <w:i/>
          <w:iCs/>
        </w:rPr>
        <w:t xml:space="preserve"> Animal </w:t>
      </w:r>
      <w:proofErr w:type="spellStart"/>
      <w:r w:rsidRPr="00411947">
        <w:rPr>
          <w:i/>
          <w:iCs/>
        </w:rPr>
        <w:t>Products</w:t>
      </w:r>
      <w:proofErr w:type="spellEnd"/>
      <w:r w:rsidRPr="00411947">
        <w:t>, 2012. Disponible en ligne : </w:t>
      </w:r>
      <w:hyperlink r:id="rId11" w:history="1">
        <w:r w:rsidRPr="00411947">
          <w:rPr>
            <w:rStyle w:val="Lienhypertexte"/>
          </w:rPr>
          <w:t>http://waterfootprint.org/media/downloads/Mekonnen-Hoekstra-2012-WaterFootprintFarmAnimalProducts.pdf</w:t>
        </w:r>
      </w:hyperlink>
      <w:r w:rsidRPr="00411947">
        <w:t> (consulté le 1</w:t>
      </w:r>
      <w:r w:rsidRPr="00411947">
        <w:rPr>
          <w:vertAlign w:val="superscript"/>
        </w:rPr>
        <w:t>er</w:t>
      </w:r>
      <w:r w:rsidRPr="00411947">
        <w:t> mars 2018).</w:t>
      </w:r>
    </w:p>
    <w:p w14:paraId="449FA2CF" w14:textId="77777777" w:rsidR="00411947" w:rsidRPr="00411947" w:rsidRDefault="00411947" w:rsidP="00411947">
      <w:r w:rsidRPr="00411947">
        <w:t>[5] </w:t>
      </w:r>
      <w:proofErr w:type="spellStart"/>
      <w:r w:rsidRPr="00411947">
        <w:t>Mottet</w:t>
      </w:r>
      <w:proofErr w:type="spellEnd"/>
      <w:r w:rsidRPr="00411947">
        <w:t>, A., de Haan, C. et al., 2017. </w:t>
      </w:r>
      <w:r w:rsidRPr="00F97FDF">
        <w:rPr>
          <w:i/>
          <w:iCs/>
          <w:lang w:val="en-US"/>
        </w:rPr>
        <w:t xml:space="preserve">Livestock: On our Plates or Eating at our Table? </w:t>
      </w:r>
      <w:r w:rsidRPr="00411947">
        <w:rPr>
          <w:i/>
          <w:iCs/>
        </w:rPr>
        <w:t xml:space="preserve">A New </w:t>
      </w:r>
      <w:proofErr w:type="spellStart"/>
      <w:r w:rsidRPr="00411947">
        <w:rPr>
          <w:i/>
          <w:iCs/>
        </w:rPr>
        <w:t>Analysis</w:t>
      </w:r>
      <w:proofErr w:type="spellEnd"/>
      <w:r w:rsidRPr="00411947">
        <w:rPr>
          <w:i/>
          <w:iCs/>
        </w:rPr>
        <w:t xml:space="preserve"> of the </w:t>
      </w:r>
      <w:proofErr w:type="spellStart"/>
      <w:r w:rsidRPr="00411947">
        <w:rPr>
          <w:i/>
          <w:iCs/>
        </w:rPr>
        <w:t>Feed</w:t>
      </w:r>
      <w:proofErr w:type="spellEnd"/>
      <w:r w:rsidRPr="00411947">
        <w:rPr>
          <w:i/>
          <w:iCs/>
        </w:rPr>
        <w:t xml:space="preserve">/Food </w:t>
      </w:r>
      <w:proofErr w:type="spellStart"/>
      <w:r w:rsidRPr="00411947">
        <w:rPr>
          <w:i/>
          <w:iCs/>
        </w:rPr>
        <w:t>Debate</w:t>
      </w:r>
      <w:proofErr w:type="spellEnd"/>
      <w:r w:rsidRPr="00411947">
        <w:t>, 104 p. (p. 1-8). Disponible en ligne : </w:t>
      </w:r>
      <w:hyperlink r:id="rId12" w:history="1">
        <w:r w:rsidRPr="00411947">
          <w:rPr>
            <w:rStyle w:val="Lienhypertexte"/>
          </w:rPr>
          <w:t>https://www.sciencedirect.com/science/article/pii/S2211912416300013</w:t>
        </w:r>
      </w:hyperlink>
      <w:r w:rsidRPr="00411947">
        <w:t>. </w:t>
      </w:r>
      <w:hyperlink r:id="rId13" w:history="1">
        <w:r w:rsidRPr="00411947">
          <w:rPr>
            <w:rStyle w:val="Lienhypertexte"/>
          </w:rPr>
          <w:t>https://doi.org/10.1016/j.gfs.2017.01.001</w:t>
        </w:r>
      </w:hyperlink>
    </w:p>
    <w:p w14:paraId="574CEB28" w14:textId="77777777" w:rsidR="00411947" w:rsidRDefault="00411947"/>
    <w:sectPr w:rsidR="004119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5ADF3" w14:textId="77777777" w:rsidR="00041A3E" w:rsidRDefault="00041A3E" w:rsidP="00EB48EE">
      <w:pPr>
        <w:spacing w:after="0" w:line="240" w:lineRule="auto"/>
      </w:pPr>
      <w:r>
        <w:separator/>
      </w:r>
    </w:p>
  </w:endnote>
  <w:endnote w:type="continuationSeparator" w:id="0">
    <w:p w14:paraId="5F77BCA0" w14:textId="77777777" w:rsidR="00041A3E" w:rsidRDefault="00041A3E" w:rsidP="00EB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13806" w14:textId="77777777" w:rsidR="00041A3E" w:rsidRDefault="00041A3E" w:rsidP="00EB48EE">
      <w:pPr>
        <w:spacing w:after="0" w:line="240" w:lineRule="auto"/>
      </w:pPr>
      <w:r>
        <w:separator/>
      </w:r>
    </w:p>
  </w:footnote>
  <w:footnote w:type="continuationSeparator" w:id="0">
    <w:p w14:paraId="14B1B798" w14:textId="77777777" w:rsidR="00041A3E" w:rsidRDefault="00041A3E" w:rsidP="00EB4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7A7AD" w14:textId="5E9B8A57" w:rsidR="00EB48EE" w:rsidRDefault="00EB48EE">
    <w:pPr>
      <w:pStyle w:val="En-tte"/>
    </w:pPr>
    <w:r>
      <w:t>Florence Calozet</w:t>
    </w:r>
  </w:p>
  <w:p w14:paraId="10170573" w14:textId="7F038406" w:rsidR="00EB48EE" w:rsidRDefault="00EB48EE">
    <w:pPr>
      <w:pStyle w:val="En-tte"/>
    </w:pPr>
    <w:r>
      <w:t>Rue de la sucrerie 9A</w:t>
    </w:r>
  </w:p>
  <w:p w14:paraId="44ECCD32" w14:textId="0C6E3670" w:rsidR="00EB48EE" w:rsidRDefault="00EB48EE">
    <w:pPr>
      <w:pStyle w:val="En-tte"/>
    </w:pPr>
    <w:r>
      <w:t xml:space="preserve">4219 </w:t>
    </w:r>
    <w:proofErr w:type="spellStart"/>
    <w:r>
      <w:t>Ambresin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59"/>
    <w:rsid w:val="0000511E"/>
    <w:rsid w:val="000262AA"/>
    <w:rsid w:val="00027375"/>
    <w:rsid w:val="00041A3E"/>
    <w:rsid w:val="00041D30"/>
    <w:rsid w:val="00060300"/>
    <w:rsid w:val="00093F5D"/>
    <w:rsid w:val="000B43C0"/>
    <w:rsid w:val="000E28C3"/>
    <w:rsid w:val="000E2EA5"/>
    <w:rsid w:val="000E390B"/>
    <w:rsid w:val="001030A1"/>
    <w:rsid w:val="00113541"/>
    <w:rsid w:val="001173AE"/>
    <w:rsid w:val="001674B1"/>
    <w:rsid w:val="001C7D3A"/>
    <w:rsid w:val="001E25E1"/>
    <w:rsid w:val="001F07B1"/>
    <w:rsid w:val="001F3833"/>
    <w:rsid w:val="00200E31"/>
    <w:rsid w:val="00212294"/>
    <w:rsid w:val="002129FD"/>
    <w:rsid w:val="00242392"/>
    <w:rsid w:val="00264754"/>
    <w:rsid w:val="002A2244"/>
    <w:rsid w:val="00314480"/>
    <w:rsid w:val="00316119"/>
    <w:rsid w:val="00350EF7"/>
    <w:rsid w:val="00366F5C"/>
    <w:rsid w:val="00374387"/>
    <w:rsid w:val="00392B8B"/>
    <w:rsid w:val="003A6705"/>
    <w:rsid w:val="003A7DA7"/>
    <w:rsid w:val="003E360F"/>
    <w:rsid w:val="003E6ECD"/>
    <w:rsid w:val="00411947"/>
    <w:rsid w:val="00413653"/>
    <w:rsid w:val="00450474"/>
    <w:rsid w:val="00461149"/>
    <w:rsid w:val="004946D0"/>
    <w:rsid w:val="004C3716"/>
    <w:rsid w:val="004D5862"/>
    <w:rsid w:val="00502E8B"/>
    <w:rsid w:val="005168FC"/>
    <w:rsid w:val="00523C7C"/>
    <w:rsid w:val="005433DE"/>
    <w:rsid w:val="00567CF3"/>
    <w:rsid w:val="005A538D"/>
    <w:rsid w:val="005C66E2"/>
    <w:rsid w:val="006075D9"/>
    <w:rsid w:val="00612CA5"/>
    <w:rsid w:val="00633D73"/>
    <w:rsid w:val="00640E4B"/>
    <w:rsid w:val="00651F01"/>
    <w:rsid w:val="0067137C"/>
    <w:rsid w:val="00676AF7"/>
    <w:rsid w:val="006855C7"/>
    <w:rsid w:val="00695061"/>
    <w:rsid w:val="006973E6"/>
    <w:rsid w:val="006B2154"/>
    <w:rsid w:val="006B2F2F"/>
    <w:rsid w:val="006B351B"/>
    <w:rsid w:val="006C13A5"/>
    <w:rsid w:val="006C1625"/>
    <w:rsid w:val="00710A67"/>
    <w:rsid w:val="00736F45"/>
    <w:rsid w:val="00755569"/>
    <w:rsid w:val="0075691D"/>
    <w:rsid w:val="00765E54"/>
    <w:rsid w:val="00775B70"/>
    <w:rsid w:val="007A313A"/>
    <w:rsid w:val="007C5FA0"/>
    <w:rsid w:val="007D00DB"/>
    <w:rsid w:val="007E70AE"/>
    <w:rsid w:val="007F232F"/>
    <w:rsid w:val="00817FED"/>
    <w:rsid w:val="008619CD"/>
    <w:rsid w:val="008655C4"/>
    <w:rsid w:val="00874513"/>
    <w:rsid w:val="00891115"/>
    <w:rsid w:val="008D333A"/>
    <w:rsid w:val="008D5065"/>
    <w:rsid w:val="00900913"/>
    <w:rsid w:val="00950574"/>
    <w:rsid w:val="0096103C"/>
    <w:rsid w:val="00983295"/>
    <w:rsid w:val="00992F5F"/>
    <w:rsid w:val="009A67B2"/>
    <w:rsid w:val="009B6B02"/>
    <w:rsid w:val="009E6635"/>
    <w:rsid w:val="00A07FBA"/>
    <w:rsid w:val="00A33368"/>
    <w:rsid w:val="00A65938"/>
    <w:rsid w:val="00A7349C"/>
    <w:rsid w:val="00A94EFA"/>
    <w:rsid w:val="00AD0385"/>
    <w:rsid w:val="00AF3D59"/>
    <w:rsid w:val="00AF7547"/>
    <w:rsid w:val="00B11B0B"/>
    <w:rsid w:val="00B16700"/>
    <w:rsid w:val="00B16952"/>
    <w:rsid w:val="00B16CA1"/>
    <w:rsid w:val="00B65EDD"/>
    <w:rsid w:val="00B72048"/>
    <w:rsid w:val="00B92065"/>
    <w:rsid w:val="00B93B52"/>
    <w:rsid w:val="00BA17BE"/>
    <w:rsid w:val="00BA202C"/>
    <w:rsid w:val="00BC4842"/>
    <w:rsid w:val="00BD3AC9"/>
    <w:rsid w:val="00BD6BF1"/>
    <w:rsid w:val="00BE0875"/>
    <w:rsid w:val="00BF136E"/>
    <w:rsid w:val="00BF2E01"/>
    <w:rsid w:val="00BF5483"/>
    <w:rsid w:val="00C00AF9"/>
    <w:rsid w:val="00C07BE9"/>
    <w:rsid w:val="00C12EB5"/>
    <w:rsid w:val="00C242CF"/>
    <w:rsid w:val="00C24416"/>
    <w:rsid w:val="00C2582D"/>
    <w:rsid w:val="00C926D1"/>
    <w:rsid w:val="00C97C18"/>
    <w:rsid w:val="00CB6066"/>
    <w:rsid w:val="00CC4E40"/>
    <w:rsid w:val="00D22597"/>
    <w:rsid w:val="00D34691"/>
    <w:rsid w:val="00D54EA2"/>
    <w:rsid w:val="00D7080B"/>
    <w:rsid w:val="00DF04BB"/>
    <w:rsid w:val="00E5390D"/>
    <w:rsid w:val="00E557E9"/>
    <w:rsid w:val="00E73E2B"/>
    <w:rsid w:val="00E80A06"/>
    <w:rsid w:val="00E85667"/>
    <w:rsid w:val="00EB48EE"/>
    <w:rsid w:val="00ED36AD"/>
    <w:rsid w:val="00EF6D00"/>
    <w:rsid w:val="00F0013F"/>
    <w:rsid w:val="00F00385"/>
    <w:rsid w:val="00F12D6F"/>
    <w:rsid w:val="00F36E60"/>
    <w:rsid w:val="00F51D50"/>
    <w:rsid w:val="00F85E6E"/>
    <w:rsid w:val="00F903B6"/>
    <w:rsid w:val="00F956E3"/>
    <w:rsid w:val="00F977A1"/>
    <w:rsid w:val="00F97FDF"/>
    <w:rsid w:val="00FA31CE"/>
    <w:rsid w:val="00FA4B1D"/>
    <w:rsid w:val="00FA6FCA"/>
    <w:rsid w:val="00FB2B0F"/>
    <w:rsid w:val="00FC04E2"/>
    <w:rsid w:val="00FD67DF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5E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194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1194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B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8EE"/>
  </w:style>
  <w:style w:type="paragraph" w:styleId="Pieddepage">
    <w:name w:val="footer"/>
    <w:basedOn w:val="Normal"/>
    <w:link w:val="PieddepageCar"/>
    <w:uiPriority w:val="99"/>
    <w:unhideWhenUsed/>
    <w:rsid w:val="00EB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194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1194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B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8EE"/>
  </w:style>
  <w:style w:type="paragraph" w:styleId="Pieddepage">
    <w:name w:val="footer"/>
    <w:basedOn w:val="Normal"/>
    <w:link w:val="PieddepageCar"/>
    <w:uiPriority w:val="99"/>
    <w:unhideWhenUsed/>
    <w:rsid w:val="00EB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805/5965" TargetMode="External"/><Relationship Id="rId13" Type="http://schemas.openxmlformats.org/officeDocument/2006/relationships/hyperlink" Target="https://doi.org/10.1016/j.gfs.2017.01.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fsa.europa.eu/sites/default/files/corporate_publications/files/factsheetcampylobacterfr.pdf" TargetMode="External"/><Relationship Id="rId12" Type="http://schemas.openxmlformats.org/officeDocument/2006/relationships/hyperlink" Target="https://www.sciencedirect.com/science/article/pii/S221191241630001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aterfootprint.org/media/downloads/Mekonnen-Hoekstra-2012-WaterFootprintFarmAnimalProducts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esse.inra.fr/Dossiers-de-presse/Volailles-les-chercheurs-veillent-au-grain/Ce-que-mangent-les-volailles-1/(key)/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o.org/3/a-i3437e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calozet</dc:creator>
  <cp:lastModifiedBy>PC</cp:lastModifiedBy>
  <cp:revision>2</cp:revision>
  <dcterms:created xsi:type="dcterms:W3CDTF">2020-10-12T19:21:00Z</dcterms:created>
  <dcterms:modified xsi:type="dcterms:W3CDTF">2020-10-12T19:21:00Z</dcterms:modified>
</cp:coreProperties>
</file>